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7A" w:rsidRDefault="001A094D" w:rsidP="0006167A">
      <w:pPr>
        <w:rPr>
          <w:b/>
          <w:u w:val="single"/>
        </w:rPr>
      </w:pPr>
      <w:r w:rsidRPr="00DB6628">
        <w:rPr>
          <w:b/>
          <w:u w:val="single"/>
        </w:rPr>
        <w:t>Renal Indications for use of Therapeutic Apheresis</w:t>
      </w:r>
      <w:r w:rsidR="0006167A">
        <w:rPr>
          <w:b/>
          <w:u w:val="single"/>
        </w:rPr>
        <w:t xml:space="preserve"> (Plasma Exchange)</w:t>
      </w:r>
      <w:r w:rsidR="00355E49">
        <w:rPr>
          <w:b/>
          <w:u w:val="single"/>
        </w:rPr>
        <w:t xml:space="preserve">  </w:t>
      </w:r>
    </w:p>
    <w:p w:rsidR="0006167A" w:rsidRDefault="00C82823" w:rsidP="0006167A">
      <w:r>
        <w:fldChar w:fldCharType="begin"/>
      </w:r>
      <w:r w:rsidR="0006167A">
        <w:instrText xml:space="preserve"> ADDIN EN.CITE &lt;EndNote&gt;&lt;Cite&gt;&lt;Author&gt;Szczepiorkowski&lt;/Author&gt;&lt;Year&gt;2010&lt;/Year&gt;&lt;RecNum&gt;612&lt;/RecNum&gt;&lt;record&gt;&lt;rec-number&gt;612&lt;/rec-number&gt;&lt;foreign-keys&gt;&lt;key app="EN" db-id="esxptdd03sffenet0r35vzepesw5f5rde9fz"&gt;612&lt;/key&gt;&lt;/foreign-keys&gt;&lt;ref-type name="Journal Article"&gt;17&lt;/ref-type&gt;&lt;contributors&gt;&lt;authors&gt;&lt;author&gt;Szczepiorkowski, Z. M.&lt;/author&gt;&lt;author&gt;Winters, J. L.&lt;/author&gt;&lt;author&gt;Bandarenko, N.&lt;/author&gt;&lt;author&gt;Kim, H. C.&lt;/author&gt;&lt;author&gt;Linenberger, M. L.&lt;/author&gt;&lt;author&gt;Marques, M. B.&lt;/author&gt;&lt;author&gt;Sarode, R.&lt;/author&gt;&lt;author&gt;Schwartz, J.&lt;/author&gt;&lt;author&gt;Weinstein, R.&lt;/author&gt;&lt;author&gt;Shaz, B. H.&lt;/author&gt;&lt;/authors&gt;&lt;/contributors&gt;&lt;auth-address&gt;Transfusion Medicine Service, Department of Pathology, Dartmouth-Hitchcock Medical Center, Lebanon, New Hampshire 03756, USA. ziggy@dartmouth.edu&lt;/auth-address&gt;&lt;titles&gt;&lt;title&gt;Guidelines on the use of therapeutic apheresis in clinical practice--evidence-based approach from the Apheresis Applications Committee of the American Society for Apheresis&lt;/title&gt;&lt;secondary-title&gt;J Clin Apher&lt;/secondary-title&gt;&lt;/titles&gt;&lt;periodical&gt;&lt;full-title&gt;J Clin Apher&lt;/full-title&gt;&lt;/periodical&gt;&lt;pages&gt;83-177&lt;/pages&gt;&lt;volume&gt;25&lt;/volume&gt;&lt;number&gt;3&lt;/number&gt;&lt;edition&gt;2010/06/23&lt;/edition&gt;&lt;keywords&gt;&lt;keyword&gt;Blood Component Removal/methods/*standards&lt;/keyword&gt;&lt;keyword&gt;Disease&lt;/keyword&gt;&lt;keyword&gt;Evidence-Based Medicine/standards&lt;/keyword&gt;&lt;keyword&gt;Humans&lt;/keyword&gt;&lt;keyword&gt;Methods&lt;/keyword&gt;&lt;keyword&gt;Societies&lt;/keyword&gt;&lt;keyword&gt;Therapeutics/standards&lt;/keyword&gt;&lt;/keywords&gt;&lt;dates&gt;&lt;year&gt;2010&lt;/year&gt;&lt;/dates&gt;&lt;isbn&gt;1098-1101 (Electronic)&amp;#xD;0733-2459 (Linking)&lt;/isbn&gt;&lt;accession-num&gt;20568098&lt;/accession-num&gt;&lt;urls&gt;&lt;related-urls&gt;&lt;url&gt;http://www.ncbi.nlm.nih.gov/entrez/query.fcgi?cmd=Retrieve&amp;amp;db=PubMed&amp;amp;dopt=Citation&amp;amp;list_uids=20568098&lt;/url&gt;&lt;/related-urls&gt;&lt;/urls&gt;&lt;electronic-resource-num&gt;10.1002/jca.20240&lt;/electronic-resource-num&gt;&lt;language&gt;eng&lt;/language&gt;&lt;/record&gt;&lt;/Cite&gt;&lt;/EndNote&gt;</w:instrText>
      </w:r>
      <w:r>
        <w:fldChar w:fldCharType="separate"/>
      </w:r>
      <w:r w:rsidR="0006167A">
        <w:t>(Szczepiorkowski, Winters et al. 2010)</w:t>
      </w:r>
      <w:r>
        <w:fldChar w:fldCharType="end"/>
      </w:r>
    </w:p>
    <w:p w:rsidR="001A094D" w:rsidRPr="00DB6628" w:rsidRDefault="003479F7" w:rsidP="002619AE">
      <w:pPr>
        <w:numPr>
          <w:ilvl w:val="0"/>
          <w:numId w:val="1"/>
        </w:numPr>
        <w:spacing w:line="240" w:lineRule="auto"/>
      </w:pPr>
      <w:r w:rsidRPr="0014671B">
        <w:rPr>
          <w:b/>
        </w:rPr>
        <w:t>ABO incompatible Renal</w:t>
      </w:r>
      <w:r w:rsidR="0013351F">
        <w:t xml:space="preserve"> (</w:t>
      </w:r>
      <w:r w:rsidR="0013351F" w:rsidRPr="0014671B">
        <w:rPr>
          <w:b/>
        </w:rPr>
        <w:t>Solid Organ)</w:t>
      </w:r>
      <w:r w:rsidRPr="0014671B">
        <w:rPr>
          <w:b/>
        </w:rPr>
        <w:t xml:space="preserve"> Transplantation</w:t>
      </w:r>
      <w:r w:rsidRPr="00DB6628">
        <w:t xml:space="preserve"> (</w:t>
      </w:r>
      <w:r w:rsidR="0013351F">
        <w:t>Category II/ G</w:t>
      </w:r>
      <w:r w:rsidRPr="00DB6628">
        <w:t>rade 1B) – page 96</w:t>
      </w:r>
      <w:r w:rsidR="0006167A">
        <w:t xml:space="preserve">* </w:t>
      </w:r>
      <w:hyperlink r:id="rId5" w:history="1">
        <w:r w:rsidR="00DA3075" w:rsidRPr="002C2D3C">
          <w:rPr>
            <w:rStyle w:val="Hyperlink"/>
            <w:b/>
          </w:rPr>
          <w:t>http://stgrenal.med.unsw.edu.au/StGRenalWeb.nsf/page/Renal+Transplantation</w:t>
        </w:r>
      </w:hyperlink>
      <w:r w:rsidR="0006167A">
        <w:t>)</w:t>
      </w:r>
    </w:p>
    <w:p w:rsidR="003479F7" w:rsidRPr="00DB6628" w:rsidRDefault="003479F7" w:rsidP="002619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dvP6960"/>
          <w:color w:val="3A3535"/>
          <w:lang w:eastAsia="en-AU"/>
        </w:rPr>
      </w:pPr>
      <w:r w:rsidRPr="0014671B">
        <w:rPr>
          <w:rFonts w:cs="AdvP6960"/>
          <w:b/>
          <w:color w:val="3A3535"/>
          <w:lang w:eastAsia="en-AU"/>
        </w:rPr>
        <w:t>ANCA- associated rapidly progressive glomerulonephritis</w:t>
      </w:r>
      <w:r w:rsidRPr="00DB6628">
        <w:rPr>
          <w:rFonts w:cs="AdvP6960"/>
          <w:color w:val="3A3535"/>
          <w:lang w:eastAsia="en-AU"/>
        </w:rPr>
        <w:t xml:space="preserve"> (Wegener’s Granulomatosis) – </w:t>
      </w:r>
      <w:r w:rsidR="0013351F">
        <w:rPr>
          <w:rFonts w:cs="AdvP6960"/>
          <w:color w:val="3A3535"/>
          <w:lang w:eastAsia="en-AU"/>
        </w:rPr>
        <w:t>D</w:t>
      </w:r>
      <w:r w:rsidRPr="00DB6628">
        <w:rPr>
          <w:rFonts w:cs="AdvP6960"/>
          <w:color w:val="3A3535"/>
          <w:lang w:eastAsia="en-AU"/>
        </w:rPr>
        <w:t>ialysis dependence (</w:t>
      </w:r>
      <w:r w:rsidR="0013351F">
        <w:rPr>
          <w:rFonts w:cs="AdvP6960"/>
          <w:color w:val="3A3535"/>
          <w:lang w:eastAsia="en-AU"/>
        </w:rPr>
        <w:t>Category I/ G</w:t>
      </w:r>
      <w:r w:rsidRPr="00DB6628">
        <w:rPr>
          <w:rFonts w:cs="AdvP6960"/>
          <w:color w:val="3A3535"/>
          <w:lang w:eastAsia="en-AU"/>
        </w:rPr>
        <w:t xml:space="preserve">rade 1A); </w:t>
      </w:r>
      <w:r w:rsidR="0013351F">
        <w:rPr>
          <w:rFonts w:cs="AdvP6960"/>
          <w:color w:val="3A3535"/>
          <w:lang w:eastAsia="en-AU"/>
        </w:rPr>
        <w:t>L</w:t>
      </w:r>
      <w:r w:rsidRPr="00DB6628">
        <w:rPr>
          <w:rFonts w:cs="AdvP6960"/>
          <w:color w:val="3A3535"/>
          <w:lang w:eastAsia="en-AU"/>
        </w:rPr>
        <w:t xml:space="preserve">ung </w:t>
      </w:r>
      <w:r w:rsidR="0013351F">
        <w:rPr>
          <w:rFonts w:cs="AdvP6960"/>
          <w:color w:val="3A3535"/>
          <w:lang w:eastAsia="en-AU"/>
        </w:rPr>
        <w:t xml:space="preserve">alveolar </w:t>
      </w:r>
      <w:r w:rsidRPr="00DB6628">
        <w:rPr>
          <w:rFonts w:cs="AdvP6960"/>
          <w:color w:val="3A3535"/>
          <w:lang w:eastAsia="en-AU"/>
        </w:rPr>
        <w:t xml:space="preserve">haemorrhage </w:t>
      </w:r>
      <w:r w:rsidR="0013351F" w:rsidRPr="00DB6628">
        <w:rPr>
          <w:rFonts w:cs="AdvP6960"/>
          <w:color w:val="3A3535"/>
          <w:lang w:eastAsia="en-AU"/>
        </w:rPr>
        <w:t>(</w:t>
      </w:r>
      <w:r w:rsidR="0013351F">
        <w:rPr>
          <w:rFonts w:cs="AdvP6960"/>
          <w:color w:val="3A3535"/>
          <w:lang w:eastAsia="en-AU"/>
        </w:rPr>
        <w:t>Category I/ G</w:t>
      </w:r>
      <w:r w:rsidRPr="00DB6628">
        <w:rPr>
          <w:rFonts w:cs="AdvP6960"/>
          <w:color w:val="3A3535"/>
          <w:lang w:eastAsia="en-AU"/>
        </w:rPr>
        <w:t xml:space="preserve">rade 1C); </w:t>
      </w:r>
      <w:r w:rsidR="0013351F">
        <w:rPr>
          <w:rFonts w:cs="AdvP6960"/>
          <w:color w:val="3A3535"/>
          <w:lang w:eastAsia="en-AU"/>
        </w:rPr>
        <w:t>D</w:t>
      </w:r>
      <w:r w:rsidRPr="00DB6628">
        <w:rPr>
          <w:rFonts w:cs="AdvP6960"/>
          <w:color w:val="3A3535"/>
          <w:lang w:eastAsia="en-AU"/>
        </w:rPr>
        <w:t xml:space="preserve">ialysis independence </w:t>
      </w:r>
      <w:r w:rsidR="0013351F" w:rsidRPr="00DB6628">
        <w:rPr>
          <w:rFonts w:cs="AdvP6960"/>
          <w:color w:val="3A3535"/>
          <w:lang w:eastAsia="en-AU"/>
        </w:rPr>
        <w:t>(</w:t>
      </w:r>
      <w:r w:rsidR="0013351F">
        <w:rPr>
          <w:rFonts w:cs="AdvP6960"/>
          <w:color w:val="3A3535"/>
          <w:lang w:eastAsia="en-AU"/>
        </w:rPr>
        <w:t>Category III/ G</w:t>
      </w:r>
      <w:r w:rsidRPr="00DB6628">
        <w:rPr>
          <w:rFonts w:cs="AdvP6960"/>
          <w:color w:val="3A3535"/>
          <w:lang w:eastAsia="en-AU"/>
        </w:rPr>
        <w:t>rade 2C)</w:t>
      </w:r>
      <w:r w:rsidR="0013351F">
        <w:rPr>
          <w:rFonts w:cs="AdvP6960"/>
          <w:color w:val="3A3535"/>
          <w:lang w:eastAsia="en-AU"/>
        </w:rPr>
        <w:t xml:space="preserve"> </w:t>
      </w:r>
      <w:r w:rsidR="0006167A">
        <w:rPr>
          <w:rFonts w:cs="AdvP6960"/>
          <w:color w:val="3A3535"/>
          <w:lang w:eastAsia="en-AU"/>
        </w:rPr>
        <w:t>- page 101*</w:t>
      </w:r>
    </w:p>
    <w:p w:rsidR="003479F7" w:rsidRPr="00DB6628" w:rsidRDefault="003479F7" w:rsidP="002619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dvP6960"/>
          <w:color w:val="3A3535"/>
          <w:lang w:eastAsia="en-AU"/>
        </w:rPr>
      </w:pPr>
      <w:r w:rsidRPr="0014671B">
        <w:rPr>
          <w:rFonts w:cs="AdvP6960"/>
          <w:b/>
          <w:color w:val="3A3535"/>
          <w:lang w:eastAsia="en-AU"/>
        </w:rPr>
        <w:t>Anti-glomerular basement membrane disease</w:t>
      </w:r>
      <w:r w:rsidRPr="00DB6628">
        <w:rPr>
          <w:rFonts w:cs="AdvP6960"/>
          <w:color w:val="3A3535"/>
          <w:lang w:eastAsia="en-AU"/>
        </w:rPr>
        <w:t xml:space="preserve"> (Goodpasture’s syndrome)  - </w:t>
      </w:r>
      <w:r w:rsidR="0013351F">
        <w:rPr>
          <w:rFonts w:cs="AdvP6960"/>
          <w:color w:val="3A3535"/>
          <w:lang w:eastAsia="en-AU"/>
        </w:rPr>
        <w:t>D</w:t>
      </w:r>
      <w:r w:rsidRPr="00DB6628">
        <w:rPr>
          <w:rFonts w:cs="AdvP6960"/>
          <w:color w:val="3A3535"/>
          <w:lang w:eastAsia="en-AU"/>
        </w:rPr>
        <w:t xml:space="preserve">ialysis </w:t>
      </w:r>
      <w:r w:rsidR="0006167A" w:rsidRPr="00DB6628">
        <w:rPr>
          <w:rFonts w:cs="AdvP6960"/>
          <w:color w:val="3A3535"/>
          <w:lang w:eastAsia="en-AU"/>
        </w:rPr>
        <w:t>independence</w:t>
      </w:r>
      <w:r w:rsidRPr="00DB6628">
        <w:rPr>
          <w:rFonts w:cs="AdvP6960"/>
          <w:color w:val="3A3535"/>
          <w:lang w:eastAsia="en-AU"/>
        </w:rPr>
        <w:t xml:space="preserve"> </w:t>
      </w:r>
      <w:r w:rsidR="0013351F" w:rsidRPr="00DB6628">
        <w:rPr>
          <w:rFonts w:cs="AdvP6960"/>
          <w:color w:val="3A3535"/>
          <w:lang w:eastAsia="en-AU"/>
        </w:rPr>
        <w:t>(</w:t>
      </w:r>
      <w:r w:rsidR="0013351F">
        <w:rPr>
          <w:rFonts w:cs="AdvP6960"/>
          <w:color w:val="3A3535"/>
          <w:lang w:eastAsia="en-AU"/>
        </w:rPr>
        <w:t>Category I/ G</w:t>
      </w:r>
      <w:r w:rsidR="0013351F" w:rsidRPr="00DB6628">
        <w:rPr>
          <w:rFonts w:cs="AdvP6960"/>
          <w:color w:val="3A3535"/>
          <w:lang w:eastAsia="en-AU"/>
        </w:rPr>
        <w:t>rade 1A)</w:t>
      </w:r>
      <w:r w:rsidRPr="00DB6628">
        <w:rPr>
          <w:rFonts w:cs="AdvP6960"/>
          <w:color w:val="3A3535"/>
          <w:lang w:eastAsia="en-AU"/>
        </w:rPr>
        <w:t xml:space="preserve">; </w:t>
      </w:r>
      <w:r w:rsidR="0013351F">
        <w:rPr>
          <w:rFonts w:cs="AdvP6960"/>
          <w:color w:val="3A3535"/>
          <w:lang w:eastAsia="en-AU"/>
        </w:rPr>
        <w:t>L</w:t>
      </w:r>
      <w:r w:rsidRPr="00DB6628">
        <w:rPr>
          <w:rFonts w:cs="AdvP6960"/>
          <w:color w:val="3A3535"/>
          <w:lang w:eastAsia="en-AU"/>
        </w:rPr>
        <w:t xml:space="preserve">ung alveolar haemorrhage </w:t>
      </w:r>
      <w:r w:rsidR="0013351F" w:rsidRPr="00DB6628">
        <w:rPr>
          <w:rFonts w:cs="AdvP6960"/>
          <w:color w:val="3A3535"/>
          <w:lang w:eastAsia="en-AU"/>
        </w:rPr>
        <w:t>(</w:t>
      </w:r>
      <w:r w:rsidR="0013351F">
        <w:rPr>
          <w:rFonts w:cs="AdvP6960"/>
          <w:color w:val="3A3535"/>
          <w:lang w:eastAsia="en-AU"/>
        </w:rPr>
        <w:t>Category I/ G</w:t>
      </w:r>
      <w:r w:rsidRPr="00DB6628">
        <w:rPr>
          <w:rFonts w:cs="AdvP6960"/>
          <w:color w:val="3A3535"/>
          <w:lang w:eastAsia="en-AU"/>
        </w:rPr>
        <w:t>rade 1</w:t>
      </w:r>
      <w:r w:rsidR="0013351F">
        <w:rPr>
          <w:rFonts w:cs="AdvP6960"/>
          <w:color w:val="3A3535"/>
          <w:lang w:eastAsia="en-AU"/>
        </w:rPr>
        <w:t>B</w:t>
      </w:r>
      <w:r w:rsidRPr="00DB6628">
        <w:rPr>
          <w:rFonts w:cs="AdvP6960"/>
          <w:color w:val="3A3535"/>
          <w:lang w:eastAsia="en-AU"/>
        </w:rPr>
        <w:t xml:space="preserve">); </w:t>
      </w:r>
      <w:r w:rsidR="0013351F">
        <w:rPr>
          <w:rFonts w:cs="AdvP6960"/>
          <w:color w:val="3A3535"/>
          <w:lang w:eastAsia="en-AU"/>
        </w:rPr>
        <w:t>D</w:t>
      </w:r>
      <w:r w:rsidRPr="00DB6628">
        <w:rPr>
          <w:rFonts w:cs="AdvP6960"/>
          <w:color w:val="3A3535"/>
          <w:lang w:eastAsia="en-AU"/>
        </w:rPr>
        <w:t>ialysis dependence and no lung alveolar haemorrhage</w:t>
      </w:r>
      <w:r w:rsidR="0013351F">
        <w:rPr>
          <w:rFonts w:cs="AdvP6960"/>
          <w:color w:val="3A3535"/>
          <w:lang w:eastAsia="en-AU"/>
        </w:rPr>
        <w:t xml:space="preserve"> </w:t>
      </w:r>
      <w:r w:rsidR="0013351F" w:rsidRPr="00DB6628">
        <w:rPr>
          <w:rFonts w:cs="AdvP6960"/>
          <w:color w:val="3A3535"/>
          <w:lang w:eastAsia="en-AU"/>
        </w:rPr>
        <w:t>(</w:t>
      </w:r>
      <w:r w:rsidR="0013351F">
        <w:rPr>
          <w:rFonts w:cs="AdvP6960"/>
          <w:color w:val="3A3535"/>
          <w:lang w:eastAsia="en-AU"/>
        </w:rPr>
        <w:t>Category IV/ G</w:t>
      </w:r>
      <w:r w:rsidRPr="00DB6628">
        <w:rPr>
          <w:rFonts w:cs="AdvP6960"/>
          <w:color w:val="3A3535"/>
          <w:lang w:eastAsia="en-AU"/>
        </w:rPr>
        <w:t xml:space="preserve">rade </w:t>
      </w:r>
      <w:r w:rsidR="0013351F">
        <w:rPr>
          <w:rFonts w:cs="AdvP6960"/>
          <w:color w:val="3A3535"/>
          <w:lang w:eastAsia="en-AU"/>
        </w:rPr>
        <w:t>1A</w:t>
      </w:r>
      <w:r w:rsidRPr="00DB6628">
        <w:rPr>
          <w:rFonts w:cs="AdvP6960"/>
          <w:color w:val="3A3535"/>
          <w:lang w:eastAsia="en-AU"/>
        </w:rPr>
        <w:t>)</w:t>
      </w:r>
      <w:r w:rsidR="0006167A" w:rsidRPr="0006167A">
        <w:rPr>
          <w:rFonts w:cs="AdvP6960"/>
          <w:color w:val="3A3535"/>
          <w:lang w:eastAsia="en-AU"/>
        </w:rPr>
        <w:t xml:space="preserve"> </w:t>
      </w:r>
      <w:r w:rsidR="0006167A" w:rsidRPr="00DB6628">
        <w:rPr>
          <w:rFonts w:cs="AdvP6960"/>
          <w:color w:val="3A3535"/>
          <w:lang w:eastAsia="en-AU"/>
        </w:rPr>
        <w:t>)</w:t>
      </w:r>
      <w:r w:rsidR="0006167A">
        <w:rPr>
          <w:rFonts w:cs="AdvP6960"/>
          <w:color w:val="3A3535"/>
          <w:lang w:eastAsia="en-AU"/>
        </w:rPr>
        <w:t>- page 102*</w:t>
      </w:r>
    </w:p>
    <w:p w:rsidR="003479F7" w:rsidRPr="00DB6628" w:rsidRDefault="003479F7" w:rsidP="002619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dvP6960"/>
          <w:color w:val="3A3535"/>
          <w:lang w:eastAsia="en-AU"/>
        </w:rPr>
      </w:pPr>
      <w:r w:rsidRPr="0014671B">
        <w:rPr>
          <w:rFonts w:cs="AdvP6960"/>
          <w:b/>
          <w:color w:val="3A3535"/>
          <w:lang w:eastAsia="en-AU"/>
        </w:rPr>
        <w:t>Catastrophic antiphospholipid syndrome</w:t>
      </w:r>
      <w:r w:rsidRPr="00DB6628">
        <w:rPr>
          <w:rFonts w:cs="AdvP6960"/>
          <w:color w:val="3A3535"/>
          <w:lang w:eastAsia="en-AU"/>
        </w:rPr>
        <w:t xml:space="preserve"> – </w:t>
      </w:r>
      <w:r w:rsidR="0013351F" w:rsidRPr="00DB6628">
        <w:rPr>
          <w:rFonts w:cs="AdvP6960"/>
          <w:color w:val="3A3535"/>
          <w:lang w:eastAsia="en-AU"/>
        </w:rPr>
        <w:t>(</w:t>
      </w:r>
      <w:r w:rsidR="0013351F">
        <w:rPr>
          <w:rFonts w:cs="AdvP6960"/>
          <w:color w:val="3A3535"/>
          <w:lang w:eastAsia="en-AU"/>
        </w:rPr>
        <w:t>Category II/ G</w:t>
      </w:r>
      <w:r w:rsidR="0013351F" w:rsidRPr="00DB6628">
        <w:rPr>
          <w:rFonts w:cs="AdvP6960"/>
          <w:color w:val="3A3535"/>
          <w:lang w:eastAsia="en-AU"/>
        </w:rPr>
        <w:t>rade 2C)</w:t>
      </w:r>
      <w:r w:rsidR="0013351F">
        <w:rPr>
          <w:rFonts w:cs="AdvP6960"/>
          <w:color w:val="3A3535"/>
          <w:lang w:eastAsia="en-AU"/>
        </w:rPr>
        <w:t xml:space="preserve"> </w:t>
      </w:r>
      <w:r w:rsidR="0006167A">
        <w:rPr>
          <w:rFonts w:cs="AdvP6960"/>
          <w:color w:val="3A3535"/>
          <w:lang w:eastAsia="en-AU"/>
        </w:rPr>
        <w:t>- page 108*</w:t>
      </w:r>
    </w:p>
    <w:p w:rsidR="003479F7" w:rsidRPr="00DB6628" w:rsidRDefault="003479F7" w:rsidP="002619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dvP6960"/>
          <w:color w:val="3A3535"/>
          <w:lang w:eastAsia="en-AU"/>
        </w:rPr>
      </w:pPr>
      <w:r w:rsidRPr="0014671B">
        <w:rPr>
          <w:rFonts w:cs="AdvP6960"/>
          <w:b/>
          <w:color w:val="3A3535"/>
          <w:lang w:eastAsia="en-AU"/>
        </w:rPr>
        <w:t>Cryoglobulinemia</w:t>
      </w:r>
      <w:r w:rsidRPr="00DB6628">
        <w:rPr>
          <w:rFonts w:cs="AdvP6960"/>
          <w:color w:val="3A3535"/>
          <w:lang w:eastAsia="en-AU"/>
        </w:rPr>
        <w:t xml:space="preserve"> – severe symptomatic </w:t>
      </w:r>
      <w:r w:rsidR="0013351F" w:rsidRPr="00DB6628">
        <w:rPr>
          <w:rFonts w:cs="AdvP6960"/>
          <w:color w:val="3A3535"/>
          <w:lang w:eastAsia="en-AU"/>
        </w:rPr>
        <w:t>(</w:t>
      </w:r>
      <w:r w:rsidR="0013351F">
        <w:rPr>
          <w:rFonts w:cs="AdvP6960"/>
          <w:color w:val="3A3535"/>
          <w:lang w:eastAsia="en-AU"/>
        </w:rPr>
        <w:t>Category I</w:t>
      </w:r>
      <w:r w:rsidR="0013351F" w:rsidRPr="00DB6628">
        <w:rPr>
          <w:rFonts w:cs="AdvP6960"/>
          <w:color w:val="3A3535"/>
          <w:lang w:eastAsia="en-AU"/>
        </w:rPr>
        <w:t xml:space="preserve"> </w:t>
      </w:r>
      <w:r w:rsidR="0013351F">
        <w:rPr>
          <w:rFonts w:cs="AdvP6960"/>
          <w:color w:val="3A3535"/>
          <w:lang w:eastAsia="en-AU"/>
        </w:rPr>
        <w:t>/ G</w:t>
      </w:r>
      <w:r w:rsidRPr="00DB6628">
        <w:rPr>
          <w:rFonts w:cs="AdvP6960"/>
          <w:color w:val="3A3535"/>
          <w:lang w:eastAsia="en-AU"/>
        </w:rPr>
        <w:t xml:space="preserve">rade 1B); secondary to HCV </w:t>
      </w:r>
      <w:r w:rsidR="0013351F" w:rsidRPr="00DB6628">
        <w:rPr>
          <w:rFonts w:cs="AdvP6960"/>
          <w:color w:val="3A3535"/>
          <w:lang w:eastAsia="en-AU"/>
        </w:rPr>
        <w:t>(</w:t>
      </w:r>
      <w:r w:rsidR="0013351F">
        <w:rPr>
          <w:rFonts w:cs="AdvP6960"/>
          <w:color w:val="3A3535"/>
          <w:lang w:eastAsia="en-AU"/>
        </w:rPr>
        <w:t>Category II</w:t>
      </w:r>
      <w:r w:rsidR="0013351F" w:rsidRPr="00DB6628">
        <w:rPr>
          <w:rFonts w:cs="AdvP6960"/>
          <w:color w:val="3A3535"/>
          <w:lang w:eastAsia="en-AU"/>
        </w:rPr>
        <w:t xml:space="preserve"> </w:t>
      </w:r>
      <w:r w:rsidR="0013351F">
        <w:rPr>
          <w:rFonts w:cs="AdvP6960"/>
          <w:color w:val="3A3535"/>
          <w:lang w:eastAsia="en-AU"/>
        </w:rPr>
        <w:t xml:space="preserve">/ </w:t>
      </w:r>
      <w:r w:rsidRPr="00DB6628">
        <w:rPr>
          <w:rFonts w:cs="AdvP6960"/>
          <w:color w:val="3A3535"/>
          <w:lang w:eastAsia="en-AU"/>
        </w:rPr>
        <w:t>grade 2B)</w:t>
      </w:r>
      <w:r w:rsidR="0006167A" w:rsidRPr="0006167A">
        <w:rPr>
          <w:rFonts w:cs="AdvP6960"/>
          <w:color w:val="3A3535"/>
          <w:lang w:eastAsia="en-AU"/>
        </w:rPr>
        <w:t xml:space="preserve"> </w:t>
      </w:r>
      <w:r w:rsidR="0006167A">
        <w:rPr>
          <w:rFonts w:cs="AdvP6960"/>
          <w:color w:val="3A3535"/>
          <w:lang w:eastAsia="en-AU"/>
        </w:rPr>
        <w:t>- page 112*</w:t>
      </w:r>
    </w:p>
    <w:p w:rsidR="003479F7" w:rsidRPr="00DB6628" w:rsidRDefault="003479F7" w:rsidP="002619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dvP6960"/>
          <w:color w:val="3A3535"/>
          <w:lang w:eastAsia="en-AU"/>
        </w:rPr>
      </w:pPr>
      <w:r w:rsidRPr="0014671B">
        <w:rPr>
          <w:rFonts w:cs="AdvP6960"/>
          <w:b/>
          <w:color w:val="3A3535"/>
          <w:lang w:eastAsia="en-AU"/>
        </w:rPr>
        <w:t>Focal Segmental glomerulosclerosis recurrent</w:t>
      </w:r>
      <w:r w:rsidRPr="00DB6628">
        <w:rPr>
          <w:rFonts w:cs="AdvP6960"/>
          <w:color w:val="3A3535"/>
          <w:lang w:eastAsia="en-AU"/>
        </w:rPr>
        <w:t xml:space="preserve"> (</w:t>
      </w:r>
      <w:r w:rsidR="0013351F">
        <w:rPr>
          <w:rFonts w:cs="AdvP6960"/>
          <w:color w:val="3A3535"/>
          <w:lang w:eastAsia="en-AU"/>
        </w:rPr>
        <w:t>Category I/ G</w:t>
      </w:r>
      <w:r w:rsidRPr="00DB6628">
        <w:rPr>
          <w:rFonts w:cs="AdvP6960"/>
          <w:color w:val="3A3535"/>
          <w:lang w:eastAsia="en-AU"/>
        </w:rPr>
        <w:t>rade 1C)</w:t>
      </w:r>
      <w:r w:rsidR="0006167A">
        <w:rPr>
          <w:rFonts w:cs="AdvP6960"/>
          <w:color w:val="3A3535"/>
          <w:lang w:eastAsia="en-AU"/>
        </w:rPr>
        <w:t xml:space="preserve"> – page 116*</w:t>
      </w:r>
    </w:p>
    <w:p w:rsidR="0006167A" w:rsidRDefault="004B193C" w:rsidP="002619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dvP6960"/>
          <w:color w:val="3A3535"/>
          <w:lang w:eastAsia="en-AU"/>
        </w:rPr>
      </w:pPr>
      <w:r w:rsidRPr="0014671B">
        <w:rPr>
          <w:rFonts w:cs="AdvP6960"/>
          <w:b/>
          <w:color w:val="3A3535"/>
          <w:lang w:eastAsia="en-AU"/>
        </w:rPr>
        <w:t>Haemolytic</w:t>
      </w:r>
      <w:r w:rsidR="003479F7" w:rsidRPr="0014671B">
        <w:rPr>
          <w:rFonts w:cs="AdvP6960"/>
          <w:b/>
          <w:color w:val="3A3535"/>
          <w:lang w:eastAsia="en-AU"/>
        </w:rPr>
        <w:t xml:space="preserve"> uremic syndrome</w:t>
      </w:r>
      <w:r w:rsidR="00DB6628" w:rsidRPr="0014671B">
        <w:rPr>
          <w:rFonts w:cs="AdvP6960"/>
          <w:b/>
          <w:color w:val="3A3535"/>
          <w:lang w:eastAsia="en-AU"/>
        </w:rPr>
        <w:t xml:space="preserve"> (HUS)</w:t>
      </w:r>
      <w:r w:rsidR="003479F7" w:rsidRPr="0014671B">
        <w:rPr>
          <w:rFonts w:cs="AdvP6960"/>
          <w:b/>
          <w:color w:val="3A3535"/>
          <w:lang w:eastAsia="en-AU"/>
        </w:rPr>
        <w:t xml:space="preserve">  </w:t>
      </w:r>
      <w:r w:rsidR="0006167A">
        <w:rPr>
          <w:rFonts w:cs="AdvP6960"/>
          <w:color w:val="3A3535"/>
          <w:lang w:eastAsia="en-AU"/>
        </w:rPr>
        <w:t xml:space="preserve">- </w:t>
      </w:r>
      <w:r>
        <w:rPr>
          <w:rFonts w:cs="AdvP6960"/>
          <w:color w:val="3A3535"/>
          <w:lang w:eastAsia="en-AU"/>
        </w:rPr>
        <w:t>(Category II/II/IV/ G</w:t>
      </w:r>
      <w:r w:rsidR="0006167A">
        <w:rPr>
          <w:rFonts w:cs="AdvP6960"/>
          <w:color w:val="3A3535"/>
          <w:lang w:eastAsia="en-AU"/>
        </w:rPr>
        <w:t>rade 2C</w:t>
      </w:r>
      <w:r>
        <w:rPr>
          <w:rFonts w:cs="AdvP6960"/>
          <w:color w:val="3A3535"/>
          <w:lang w:eastAsia="en-AU"/>
        </w:rPr>
        <w:t>/2C/1C</w:t>
      </w:r>
      <w:r w:rsidR="0006167A">
        <w:rPr>
          <w:rFonts w:cs="AdvP6960"/>
          <w:color w:val="3A3535"/>
          <w:lang w:eastAsia="en-AU"/>
        </w:rPr>
        <w:t xml:space="preserve">) – </w:t>
      </w:r>
      <w:r>
        <w:rPr>
          <w:rFonts w:cs="AdvP6960"/>
          <w:color w:val="3A3535"/>
          <w:lang w:eastAsia="en-AU"/>
        </w:rPr>
        <w:t xml:space="preserve">see </w:t>
      </w:r>
      <w:r w:rsidR="0006167A">
        <w:rPr>
          <w:rFonts w:cs="AdvP6960"/>
          <w:color w:val="3A3535"/>
          <w:lang w:eastAsia="en-AU"/>
        </w:rPr>
        <w:t>page 119*</w:t>
      </w:r>
    </w:p>
    <w:p w:rsidR="003479F7" w:rsidRPr="0006167A" w:rsidRDefault="00DB6628" w:rsidP="002619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dvP6960"/>
          <w:color w:val="3A3535"/>
          <w:lang w:eastAsia="en-AU"/>
        </w:rPr>
      </w:pPr>
      <w:r w:rsidRPr="0014671B">
        <w:rPr>
          <w:rFonts w:cs="AdvP6960"/>
          <w:b/>
          <w:color w:val="3A3535"/>
          <w:lang w:eastAsia="en-AU"/>
        </w:rPr>
        <w:t>Immune Complex Rapidly Progressive GN</w:t>
      </w:r>
      <w:r w:rsidRPr="0006167A">
        <w:rPr>
          <w:rFonts w:cs="AdvP6960"/>
          <w:color w:val="3A3535"/>
          <w:lang w:eastAsia="en-AU"/>
        </w:rPr>
        <w:t xml:space="preserve"> (</w:t>
      </w:r>
      <w:r w:rsidR="004B193C">
        <w:rPr>
          <w:rFonts w:cs="AdvP6960"/>
          <w:color w:val="3A3535"/>
          <w:lang w:eastAsia="en-AU"/>
        </w:rPr>
        <w:t>Category III/ G</w:t>
      </w:r>
      <w:r w:rsidRPr="0006167A">
        <w:rPr>
          <w:rFonts w:cs="AdvP6960"/>
          <w:color w:val="3A3535"/>
          <w:lang w:eastAsia="en-AU"/>
        </w:rPr>
        <w:t>rade 2B)</w:t>
      </w:r>
      <w:r w:rsidR="0006167A">
        <w:rPr>
          <w:rFonts w:cs="AdvP6960"/>
          <w:color w:val="3A3535"/>
          <w:lang w:eastAsia="en-AU"/>
        </w:rPr>
        <w:t>- page123*</w:t>
      </w:r>
    </w:p>
    <w:p w:rsidR="00DB6628" w:rsidRPr="00DA3075" w:rsidRDefault="00DB6628" w:rsidP="002619AE">
      <w:pPr>
        <w:numPr>
          <w:ilvl w:val="0"/>
          <w:numId w:val="1"/>
        </w:numPr>
        <w:spacing w:line="240" w:lineRule="auto"/>
      </w:pPr>
      <w:r w:rsidRPr="0014671B">
        <w:rPr>
          <w:rFonts w:cs="AdvP6960"/>
          <w:b/>
          <w:color w:val="3A3535"/>
          <w:lang w:eastAsia="en-AU"/>
        </w:rPr>
        <w:t>Myeloma cast nephropathy</w:t>
      </w:r>
      <w:r>
        <w:rPr>
          <w:rFonts w:cs="AdvP6960"/>
          <w:color w:val="3A3535"/>
          <w:lang w:eastAsia="en-AU"/>
        </w:rPr>
        <w:t xml:space="preserve"> (although now </w:t>
      </w:r>
      <w:r w:rsidR="00DA3075">
        <w:rPr>
          <w:rFonts w:cs="AdvP6960"/>
          <w:color w:val="3A3535"/>
          <w:lang w:eastAsia="en-AU"/>
        </w:rPr>
        <w:t xml:space="preserve">preferentially </w:t>
      </w:r>
      <w:r>
        <w:rPr>
          <w:rFonts w:cs="AdvP6960"/>
          <w:color w:val="3A3535"/>
          <w:lang w:eastAsia="en-AU"/>
        </w:rPr>
        <w:t xml:space="preserve">using High Cut Off membrane dialysis and high grade chemotherapy) </w:t>
      </w:r>
      <w:r w:rsidR="004B193C" w:rsidRPr="00DB6628">
        <w:rPr>
          <w:rFonts w:cs="AdvP6960"/>
          <w:color w:val="3A3535"/>
          <w:lang w:eastAsia="en-AU"/>
        </w:rPr>
        <w:t>(</w:t>
      </w:r>
      <w:r w:rsidR="004B193C">
        <w:rPr>
          <w:rFonts w:cs="AdvP6960"/>
          <w:color w:val="3A3535"/>
          <w:lang w:eastAsia="en-AU"/>
        </w:rPr>
        <w:t>Category II/ G</w:t>
      </w:r>
      <w:r>
        <w:rPr>
          <w:rFonts w:cs="AdvP6960"/>
          <w:color w:val="3A3535"/>
          <w:lang w:eastAsia="en-AU"/>
        </w:rPr>
        <w:t>rade 2B)</w:t>
      </w:r>
      <w:r w:rsidR="0006167A">
        <w:rPr>
          <w:rFonts w:cs="AdvP6960"/>
          <w:color w:val="3A3535"/>
          <w:lang w:eastAsia="en-AU"/>
        </w:rPr>
        <w:t xml:space="preserve"> – page 130* </w:t>
      </w:r>
      <w:r w:rsidR="00DA3075">
        <w:t>(</w:t>
      </w:r>
      <w:hyperlink r:id="rId6" w:history="1">
        <w:r w:rsidR="00DA3075" w:rsidRPr="002C2D3C">
          <w:rPr>
            <w:rStyle w:val="Hyperlink"/>
            <w:b/>
          </w:rPr>
          <w:t>http://stgrenal.med.unsw.edu.au/StGRenalWeb.nsf/page/Policies%20and%20Protocols</w:t>
        </w:r>
      </w:hyperlink>
      <w:r w:rsidR="00DA3075">
        <w:rPr>
          <w:b/>
          <w:color w:val="0070C0"/>
        </w:rPr>
        <w:t xml:space="preserve"> </w:t>
      </w:r>
      <w:r w:rsidR="00DA3075">
        <w:t>)</w:t>
      </w:r>
    </w:p>
    <w:p w:rsidR="0006167A" w:rsidRPr="00DA3075" w:rsidRDefault="0006167A" w:rsidP="002619AE">
      <w:pPr>
        <w:numPr>
          <w:ilvl w:val="0"/>
          <w:numId w:val="1"/>
        </w:numPr>
        <w:spacing w:line="240" w:lineRule="auto"/>
      </w:pPr>
      <w:r w:rsidRPr="0014671B">
        <w:rPr>
          <w:b/>
        </w:rPr>
        <w:t>Renal Transplantation</w:t>
      </w:r>
      <w:r w:rsidRPr="0006167A">
        <w:t xml:space="preserve"> - Antibody mediated rejection </w:t>
      </w:r>
      <w:r w:rsidR="00DA3075" w:rsidRPr="00DB6628">
        <w:rPr>
          <w:rFonts w:cs="AdvP6960"/>
          <w:color w:val="3A3535"/>
          <w:lang w:eastAsia="en-AU"/>
        </w:rPr>
        <w:t>(</w:t>
      </w:r>
      <w:r w:rsidR="00DA3075">
        <w:rPr>
          <w:rFonts w:cs="AdvP6960"/>
          <w:color w:val="3A3535"/>
          <w:lang w:eastAsia="en-AU"/>
        </w:rPr>
        <w:t>Category I/ Grade 1B)</w:t>
      </w:r>
      <w:r w:rsidRPr="0006167A">
        <w:t xml:space="preserve">; Desensitization, living donor, positive crossmatch due to donor specific HLA antibody </w:t>
      </w:r>
      <w:r w:rsidR="00DA3075" w:rsidRPr="00DB6628">
        <w:rPr>
          <w:rFonts w:cs="AdvP6960"/>
          <w:color w:val="3A3535"/>
          <w:lang w:eastAsia="en-AU"/>
        </w:rPr>
        <w:t>(</w:t>
      </w:r>
      <w:r w:rsidR="00DA3075">
        <w:rPr>
          <w:rFonts w:cs="AdvP6960"/>
          <w:color w:val="3A3535"/>
          <w:lang w:eastAsia="en-AU"/>
        </w:rPr>
        <w:t>Category II/ Grade 1B)</w:t>
      </w:r>
      <w:r w:rsidRPr="0006167A">
        <w:t xml:space="preserve">; High PRA; cadaveric donor </w:t>
      </w:r>
      <w:r w:rsidR="00DA3075" w:rsidRPr="00DB6628">
        <w:rPr>
          <w:rFonts w:cs="AdvP6960"/>
          <w:color w:val="3A3535"/>
          <w:lang w:eastAsia="en-AU"/>
        </w:rPr>
        <w:t>(</w:t>
      </w:r>
      <w:r w:rsidR="00DA3075">
        <w:rPr>
          <w:rFonts w:cs="AdvP6960"/>
          <w:color w:val="3A3535"/>
          <w:lang w:eastAsia="en-AU"/>
        </w:rPr>
        <w:t>Category III/ Grade 2C)</w:t>
      </w:r>
      <w:r w:rsidRPr="0006167A">
        <w:t xml:space="preserve"> (</w:t>
      </w:r>
      <w:r w:rsidR="00DA3075">
        <w:t>(</w:t>
      </w:r>
      <w:hyperlink r:id="rId7" w:history="1">
        <w:r w:rsidR="00DA3075" w:rsidRPr="002C2D3C">
          <w:rPr>
            <w:rStyle w:val="Hyperlink"/>
            <w:b/>
          </w:rPr>
          <w:t>http://stgrenal.med.unsw.edu.au/StGRenalWeb.nsf/resources/Transplantation_6/$file/Antibody+Mediated+Rejection+and+Reducing+Thrombotic+Events.pdf</w:t>
        </w:r>
      </w:hyperlink>
      <w:r w:rsidR="00DA3075">
        <w:t xml:space="preserve">) </w:t>
      </w:r>
      <w:r w:rsidRPr="0006167A">
        <w:t>page 142*</w:t>
      </w:r>
    </w:p>
    <w:p w:rsidR="00DB6628" w:rsidRPr="0006167A" w:rsidRDefault="00DB6628" w:rsidP="002619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dvP6960"/>
          <w:color w:val="3A3535"/>
          <w:lang w:eastAsia="en-AU"/>
        </w:rPr>
      </w:pPr>
      <w:r w:rsidRPr="0014671B">
        <w:rPr>
          <w:rFonts w:cs="AdvP6960"/>
          <w:b/>
          <w:color w:val="3A3535"/>
          <w:lang w:eastAsia="en-AU"/>
        </w:rPr>
        <w:t>Systemic lupus Erythematosus (Nephritis)</w:t>
      </w:r>
      <w:r w:rsidRPr="0006167A">
        <w:rPr>
          <w:rFonts w:cs="AdvP6960"/>
          <w:color w:val="3A3535"/>
          <w:lang w:eastAsia="en-AU"/>
        </w:rPr>
        <w:t xml:space="preserve"> </w:t>
      </w:r>
      <w:r w:rsidR="00DA3075" w:rsidRPr="00DB6628">
        <w:rPr>
          <w:rFonts w:cs="AdvP6960"/>
          <w:color w:val="3A3535"/>
          <w:lang w:eastAsia="en-AU"/>
        </w:rPr>
        <w:t>(</w:t>
      </w:r>
      <w:r w:rsidR="00DA3075">
        <w:rPr>
          <w:rFonts w:cs="AdvP6960"/>
          <w:color w:val="3A3535"/>
          <w:lang w:eastAsia="en-AU"/>
        </w:rPr>
        <w:t>Category IV/ Grade 1B)</w:t>
      </w:r>
      <w:r w:rsidR="0006167A" w:rsidRPr="0006167A">
        <w:rPr>
          <w:rFonts w:cs="AdvP6960"/>
          <w:color w:val="3A3535"/>
          <w:lang w:eastAsia="en-AU"/>
        </w:rPr>
        <w:t>– page 147*</w:t>
      </w:r>
    </w:p>
    <w:p w:rsidR="0014671B" w:rsidRDefault="0006167A" w:rsidP="002619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dvP6960"/>
          <w:color w:val="3A3535"/>
          <w:lang w:eastAsia="en-AU"/>
        </w:rPr>
      </w:pPr>
      <w:r w:rsidRPr="0014671B">
        <w:rPr>
          <w:rFonts w:cs="AdvP6960"/>
          <w:b/>
          <w:color w:val="3A3535"/>
          <w:lang w:eastAsia="en-AU"/>
        </w:rPr>
        <w:t>Thrombotic Thrombocytopenia Purpura  (TTP)</w:t>
      </w:r>
      <w:r w:rsidR="0014671B" w:rsidRPr="0014671B">
        <w:rPr>
          <w:rFonts w:cs="AdvP6960"/>
          <w:color w:val="3A3535"/>
          <w:lang w:eastAsia="en-AU"/>
        </w:rPr>
        <w:t xml:space="preserve"> </w:t>
      </w:r>
      <w:r w:rsidR="0014671B" w:rsidRPr="00DB6628">
        <w:rPr>
          <w:rFonts w:cs="AdvP6960"/>
          <w:color w:val="3A3535"/>
          <w:lang w:eastAsia="en-AU"/>
        </w:rPr>
        <w:t>(</w:t>
      </w:r>
      <w:r w:rsidR="0014671B">
        <w:rPr>
          <w:rFonts w:cs="AdvP6960"/>
          <w:color w:val="3A3535"/>
          <w:lang w:eastAsia="en-AU"/>
        </w:rPr>
        <w:t>Category I/ Grade 1A) -page 151</w:t>
      </w:r>
      <w:r>
        <w:rPr>
          <w:rFonts w:cs="AdvP6960"/>
          <w:color w:val="3A3535"/>
          <w:lang w:eastAsia="en-AU"/>
        </w:rPr>
        <w:t xml:space="preserve">  and </w:t>
      </w:r>
    </w:p>
    <w:p w:rsidR="0006167A" w:rsidRPr="0006167A" w:rsidRDefault="0006167A" w:rsidP="002619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dvP6960"/>
          <w:color w:val="3A3535"/>
          <w:lang w:eastAsia="en-AU"/>
        </w:rPr>
      </w:pPr>
      <w:r w:rsidRPr="0014671B">
        <w:rPr>
          <w:rFonts w:cs="AdvP6960"/>
          <w:b/>
          <w:color w:val="3A3535"/>
          <w:lang w:eastAsia="en-AU"/>
        </w:rPr>
        <w:t>Thrombotic microangiopathy</w:t>
      </w:r>
      <w:r w:rsidR="0014671B">
        <w:rPr>
          <w:rFonts w:cs="AdvP6960"/>
          <w:b/>
          <w:color w:val="3A3535"/>
          <w:lang w:eastAsia="en-AU"/>
        </w:rPr>
        <w:t xml:space="preserve"> </w:t>
      </w:r>
      <w:r w:rsidRPr="0014671B">
        <w:rPr>
          <w:rFonts w:cs="AdvP6960"/>
          <w:b/>
          <w:color w:val="3A3535"/>
          <w:lang w:eastAsia="en-AU"/>
        </w:rPr>
        <w:t>(TMA)</w:t>
      </w:r>
      <w:r>
        <w:rPr>
          <w:rFonts w:cs="AdvP6960"/>
          <w:color w:val="3A3535"/>
          <w:lang w:eastAsia="en-AU"/>
        </w:rPr>
        <w:t xml:space="preserve"> </w:t>
      </w:r>
      <w:r w:rsidRPr="00DB6628">
        <w:rPr>
          <w:rFonts w:cs="AdvP6960"/>
          <w:color w:val="3A3535"/>
          <w:lang w:eastAsia="en-AU"/>
        </w:rPr>
        <w:t xml:space="preserve">– depending on type </w:t>
      </w:r>
      <w:r w:rsidR="00DA3075" w:rsidRPr="00DB6628">
        <w:rPr>
          <w:rFonts w:cs="AdvP6960"/>
          <w:color w:val="3A3535"/>
          <w:lang w:eastAsia="en-AU"/>
        </w:rPr>
        <w:t>(</w:t>
      </w:r>
      <w:r w:rsidR="00DA3075">
        <w:rPr>
          <w:rFonts w:cs="AdvP6960"/>
          <w:color w:val="3A3535"/>
          <w:lang w:eastAsia="en-AU"/>
        </w:rPr>
        <w:t xml:space="preserve">Category </w:t>
      </w:r>
      <w:r w:rsidR="0014671B">
        <w:rPr>
          <w:rFonts w:cs="AdvP6960"/>
          <w:color w:val="3A3535"/>
          <w:lang w:eastAsia="en-AU"/>
        </w:rPr>
        <w:t xml:space="preserve">and </w:t>
      </w:r>
      <w:r w:rsidR="00DA3075">
        <w:rPr>
          <w:rFonts w:cs="AdvP6960"/>
          <w:color w:val="3A3535"/>
          <w:lang w:eastAsia="en-AU"/>
        </w:rPr>
        <w:t xml:space="preserve">Grade </w:t>
      </w:r>
      <w:r w:rsidR="0014671B">
        <w:rPr>
          <w:rFonts w:cs="AdvP6960"/>
          <w:color w:val="3A3535"/>
          <w:lang w:eastAsia="en-AU"/>
        </w:rPr>
        <w:t>dependent on aetiology</w:t>
      </w:r>
      <w:r w:rsidR="00DA3075">
        <w:rPr>
          <w:rFonts w:cs="AdvP6960"/>
          <w:color w:val="3A3535"/>
          <w:lang w:eastAsia="en-AU"/>
        </w:rPr>
        <w:t xml:space="preserve">) </w:t>
      </w:r>
      <w:r w:rsidR="00350520">
        <w:rPr>
          <w:rFonts w:cs="AdvP6960"/>
          <w:color w:val="3A3535"/>
          <w:lang w:eastAsia="en-AU"/>
        </w:rPr>
        <w:t>- pages 149-151</w:t>
      </w:r>
    </w:p>
    <w:p w:rsidR="0006167A" w:rsidRPr="002619AE" w:rsidRDefault="002619AE" w:rsidP="002619AE">
      <w:pPr>
        <w:spacing w:line="240" w:lineRule="auto"/>
        <w:ind w:left="350"/>
      </w:pPr>
      <w:r>
        <w:t>*Refers to page from reference below</w:t>
      </w:r>
    </w:p>
    <w:p w:rsidR="00042127" w:rsidRDefault="002619AE">
      <w:r>
        <w:t>Referrals should be made according to “R</w:t>
      </w:r>
      <w:r w:rsidRPr="002619AE">
        <w:t xml:space="preserve">eferral of patients to </w:t>
      </w:r>
      <w:r>
        <w:t>A</w:t>
      </w:r>
      <w:r w:rsidRPr="002619AE">
        <w:t>pheresis service</w:t>
      </w:r>
      <w:r>
        <w:t>” business rule URL address</w:t>
      </w:r>
      <w:r w:rsidR="00042127">
        <w:t xml:space="preserve"> </w:t>
      </w:r>
      <w:hyperlink r:id="rId8" w:history="1">
        <w:r w:rsidR="00042127" w:rsidRPr="00EC3014">
          <w:rPr>
            <w:rStyle w:val="Hyperlink"/>
          </w:rPr>
          <w:t>http://seslhnweb/SGS</w:t>
        </w:r>
        <w:r w:rsidR="00042127" w:rsidRPr="00EC3014">
          <w:rPr>
            <w:rStyle w:val="Hyperlink"/>
          </w:rPr>
          <w:t>H</w:t>
        </w:r>
        <w:r w:rsidR="00042127" w:rsidRPr="00EC3014">
          <w:rPr>
            <w:rStyle w:val="Hyperlink"/>
          </w:rPr>
          <w:t>HS/Business_Rules/Clinical/documents/A/Apheresis_Referral_to_SGH_SGSHHS_CLIN200.pdf</w:t>
        </w:r>
      </w:hyperlink>
    </w:p>
    <w:p w:rsidR="001A094D" w:rsidRDefault="00042127">
      <w:r>
        <w:t xml:space="preserve"> </w:t>
      </w:r>
      <w:proofErr w:type="gramStart"/>
      <w:r>
        <w:t>W</w:t>
      </w:r>
      <w:r w:rsidR="00AF5590">
        <w:t>hich in</w:t>
      </w:r>
      <w:r w:rsidR="002619AE">
        <w:t xml:space="preserve"> summary</w:t>
      </w:r>
      <w:r w:rsidR="00AF5590">
        <w:t xml:space="preserve"> is:</w:t>
      </w:r>
      <w:proofErr w:type="gramEnd"/>
    </w:p>
    <w:p w:rsidR="002619AE" w:rsidRDefault="002619AE" w:rsidP="002619AE">
      <w:pPr>
        <w:numPr>
          <w:ilvl w:val="0"/>
          <w:numId w:val="8"/>
        </w:numPr>
        <w:spacing w:line="240" w:lineRule="auto"/>
      </w:pPr>
      <w:r>
        <w:t>D</w:t>
      </w:r>
      <w:r w:rsidRPr="002619AE">
        <w:t xml:space="preserve">uring office hours, contact </w:t>
      </w:r>
      <w:r>
        <w:t>Dr Fernando Roncolato</w:t>
      </w:r>
      <w:r w:rsidRPr="002619AE">
        <w:t xml:space="preserve">. </w:t>
      </w:r>
    </w:p>
    <w:p w:rsidR="002619AE" w:rsidRDefault="002619AE" w:rsidP="002619AE">
      <w:pPr>
        <w:numPr>
          <w:ilvl w:val="0"/>
          <w:numId w:val="8"/>
        </w:numPr>
        <w:spacing w:line="240" w:lineRule="auto"/>
      </w:pPr>
      <w:r w:rsidRPr="002619AE">
        <w:t>After hours, contact the on-call haematologist who will then notify the apheresis team as needed</w:t>
      </w:r>
    </w:p>
    <w:p w:rsidR="00C05815" w:rsidRPr="0006167A" w:rsidRDefault="0006167A">
      <w:pPr>
        <w:rPr>
          <w:b/>
        </w:rPr>
      </w:pPr>
      <w:r w:rsidRPr="0006167A">
        <w:rPr>
          <w:b/>
        </w:rPr>
        <w:t>Reference</w:t>
      </w:r>
    </w:p>
    <w:p w:rsidR="00C05815" w:rsidRPr="00C05815" w:rsidRDefault="00C82823" w:rsidP="00C05815">
      <w:pPr>
        <w:spacing w:after="0" w:line="240" w:lineRule="auto"/>
        <w:ind w:left="720" w:hanging="720"/>
      </w:pPr>
      <w:r>
        <w:fldChar w:fldCharType="begin"/>
      </w:r>
      <w:r w:rsidR="00C05815">
        <w:instrText xml:space="preserve"> ADDIN EN.REFLIST </w:instrText>
      </w:r>
      <w:r>
        <w:fldChar w:fldCharType="separate"/>
      </w:r>
      <w:r w:rsidR="00C05815" w:rsidRPr="00C05815">
        <w:t xml:space="preserve">Szczepiorkowski, Z. M., J. L. Winters, et al. (2010). "Guidelines on the use of therapeutic apheresis in clinical practice--evidence-based approach from the Apheresis Applications Committee of the American Society for Apheresis." </w:t>
      </w:r>
      <w:r w:rsidR="00C05815" w:rsidRPr="00C05815">
        <w:rPr>
          <w:u w:val="single"/>
        </w:rPr>
        <w:t>J Clin Apher</w:t>
      </w:r>
      <w:r w:rsidR="00C05815" w:rsidRPr="00C05815">
        <w:t xml:space="preserve"> </w:t>
      </w:r>
      <w:r w:rsidR="00C05815" w:rsidRPr="00C05815">
        <w:rPr>
          <w:b/>
        </w:rPr>
        <w:t>25</w:t>
      </w:r>
      <w:r w:rsidR="00C05815" w:rsidRPr="00C05815">
        <w:t>(3): 83-177.</w:t>
      </w:r>
    </w:p>
    <w:p w:rsidR="002619AE" w:rsidRPr="00DB6628" w:rsidRDefault="00C82823">
      <w:r>
        <w:fldChar w:fldCharType="end"/>
      </w:r>
      <w:hyperlink r:id="rId9" w:history="1">
        <w:r w:rsidR="00350520" w:rsidRPr="002C2D3C">
          <w:rPr>
            <w:rStyle w:val="Hyperlink"/>
          </w:rPr>
          <w:t>http://onlinelibrary.wiley.com/doi/10.1002/jca.20240/abstract;jsessionid=47C97F0CF4D3AB3416821DECCB114AC1.d04t03</w:t>
        </w:r>
      </w:hyperlink>
    </w:p>
    <w:sectPr w:rsidR="002619AE" w:rsidRPr="00DB6628" w:rsidSect="00042127">
      <w:pgSz w:w="11906" w:h="16838"/>
      <w:pgMar w:top="907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dvP696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52AA4"/>
    <w:multiLevelType w:val="hybridMultilevel"/>
    <w:tmpl w:val="242AB8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071CE"/>
    <w:multiLevelType w:val="hybridMultilevel"/>
    <w:tmpl w:val="242AB8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E11F0"/>
    <w:multiLevelType w:val="hybridMultilevel"/>
    <w:tmpl w:val="242AB826"/>
    <w:lvl w:ilvl="0" w:tplc="0C09000F">
      <w:start w:val="1"/>
      <w:numFmt w:val="decimal"/>
      <w:lvlText w:val="%1."/>
      <w:lvlJc w:val="left"/>
      <w:pPr>
        <w:ind w:left="107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3C23CF"/>
    <w:multiLevelType w:val="hybridMultilevel"/>
    <w:tmpl w:val="242AB8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718FB"/>
    <w:multiLevelType w:val="hybridMultilevel"/>
    <w:tmpl w:val="BFF4953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754C5"/>
    <w:multiLevelType w:val="hybridMultilevel"/>
    <w:tmpl w:val="33F0EDC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35322"/>
    <w:multiLevelType w:val="hybridMultilevel"/>
    <w:tmpl w:val="0E1EED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C1486F"/>
    <w:multiLevelType w:val="hybridMultilevel"/>
    <w:tmpl w:val="33F0EDC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docVars>
    <w:docVar w:name="EN.InstantFormat" w:val="&lt;ENInstantFormat&gt;&lt;Enabled&gt;1&lt;/Enabled&gt;&lt;ScanUnformatted&gt;1&lt;/ScanUnformatted&gt;&lt;ScanChanges&gt;1&lt;/ScanChanges&gt;&lt;/ENInstantFormat&gt;"/>
    <w:docVar w:name="EN.Libraries" w:val="&lt;ENLibraries&gt;&lt;Libraries&gt;&lt;item&gt;References Storage Library.enl&lt;/item&gt;&lt;/Libraries&gt;&lt;/ENLibraries&gt;"/>
  </w:docVars>
  <w:rsids>
    <w:rsidRoot w:val="001A094D"/>
    <w:rsid w:val="00042127"/>
    <w:rsid w:val="0006167A"/>
    <w:rsid w:val="0013351F"/>
    <w:rsid w:val="0014671B"/>
    <w:rsid w:val="001A094D"/>
    <w:rsid w:val="002619AE"/>
    <w:rsid w:val="003479F7"/>
    <w:rsid w:val="00350520"/>
    <w:rsid w:val="00355E49"/>
    <w:rsid w:val="00496387"/>
    <w:rsid w:val="004B193C"/>
    <w:rsid w:val="00AF5590"/>
    <w:rsid w:val="00C05815"/>
    <w:rsid w:val="00C82823"/>
    <w:rsid w:val="00DA3075"/>
    <w:rsid w:val="00DB6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38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307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212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slhnweb/SGSHHS/Business_Rules/Clinical/documents/A/Apheresis_Referral_to_SGH_SGSHHS_CLIN20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grenal.med.unsw.edu.au/StGRenalWeb.nsf/resources/Transplantation_6/$file/Antibody+Mediated+Rejection+and+Reducing+Thrombotic+Event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grenal.med.unsw.edu.au/StGRenalWeb.nsf/page/Policies%20and%20Protocol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tgrenal.med.unsw.edu.au/StGRenalWeb.nsf/page/Renal+Transplantatio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nlinelibrary.wiley.com/doi/10.1002/jca.20240/abstract;jsessionid=47C97F0CF4D3AB3416821DECCB114AC1.d04t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Health</Company>
  <LinksUpToDate>false</LinksUpToDate>
  <CharactersWithSpaces>5418</CharactersWithSpaces>
  <SharedDoc>false</SharedDoc>
  <HLinks>
    <vt:vector size="24" baseType="variant">
      <vt:variant>
        <vt:i4>5046280</vt:i4>
      </vt:variant>
      <vt:variant>
        <vt:i4>15</vt:i4>
      </vt:variant>
      <vt:variant>
        <vt:i4>0</vt:i4>
      </vt:variant>
      <vt:variant>
        <vt:i4>5</vt:i4>
      </vt:variant>
      <vt:variant>
        <vt:lpwstr>http://onlinelibrary.wiley.com/doi/10.1002/jca.20240/abstract;jsessionid=47C97F0CF4D3AB3416821DECCB114AC1.d04t03</vt:lpwstr>
      </vt:variant>
      <vt:variant>
        <vt:lpwstr/>
      </vt:variant>
      <vt:variant>
        <vt:i4>6815815</vt:i4>
      </vt:variant>
      <vt:variant>
        <vt:i4>9</vt:i4>
      </vt:variant>
      <vt:variant>
        <vt:i4>0</vt:i4>
      </vt:variant>
      <vt:variant>
        <vt:i4>5</vt:i4>
      </vt:variant>
      <vt:variant>
        <vt:lpwstr>http://stgrenal.med.unsw.edu.au/StGRenalWeb.nsf/resources/Transplantation_6/$file/Antibody+Mediated+Rejection+and+Reducing+Thrombotic+Events.pdf</vt:lpwstr>
      </vt:variant>
      <vt:variant>
        <vt:lpwstr/>
      </vt:variant>
      <vt:variant>
        <vt:i4>7536672</vt:i4>
      </vt:variant>
      <vt:variant>
        <vt:i4>6</vt:i4>
      </vt:variant>
      <vt:variant>
        <vt:i4>0</vt:i4>
      </vt:variant>
      <vt:variant>
        <vt:i4>5</vt:i4>
      </vt:variant>
      <vt:variant>
        <vt:lpwstr>http://stgrenal.med.unsw.edu.au/StGRenalWeb.nsf/page/Policies and Protocols</vt:lpwstr>
      </vt:variant>
      <vt:variant>
        <vt:lpwstr/>
      </vt:variant>
      <vt:variant>
        <vt:i4>8126571</vt:i4>
      </vt:variant>
      <vt:variant>
        <vt:i4>3</vt:i4>
      </vt:variant>
      <vt:variant>
        <vt:i4>0</vt:i4>
      </vt:variant>
      <vt:variant>
        <vt:i4>5</vt:i4>
      </vt:variant>
      <vt:variant>
        <vt:lpwstr>http://stgrenal.med.unsw.edu.au/StGRenalWeb.nsf/page/Renal+Transplantation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Ivor Katz</dc:creator>
  <cp:keywords/>
  <dc:description/>
  <cp:lastModifiedBy>Saiyini Pirabhahar</cp:lastModifiedBy>
  <cp:revision>2</cp:revision>
  <dcterms:created xsi:type="dcterms:W3CDTF">2012-10-29T22:26:00Z</dcterms:created>
  <dcterms:modified xsi:type="dcterms:W3CDTF">2012-10-29T22:26:00Z</dcterms:modified>
</cp:coreProperties>
</file>